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D0" w:rsidRPr="001843D0" w:rsidRDefault="001843D0" w:rsidP="0018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Углубленная диспансеризация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 направлена на выявление и профилактику осложнений после перенесённой новой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коронавирусной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инфекции COVID-19 и состоит из двух этапов.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1 этап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 углубленной диспансеризации включает в себя: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1) </w:t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спирометрию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 (оценка функционального состояния дыхательной системы);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proofErr w:type="gram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2)</w:t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 биохимический̆ анализ крови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 (исследование уровня холестерина, уровня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липопротеинов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низкои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̆ плотности,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С-реактивного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белка, определение активности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аланинаминотрансферазы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в крови, определение активности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аспартата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softHyphen/>
        <w:t>мино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softHyphen/>
        <w:t>трансферазы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в крови, определение активности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лактатдегидрогеназы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в крови, исследование уровня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креатинина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в крови);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3) </w:t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 xml:space="preserve">определение концентрации </w:t>
      </w:r>
      <w:proofErr w:type="spellStart"/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Д-димера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 (биохимический маркер свертываемости крови) – для граждан, перенесших новую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коронавирусную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инфекцию в средней и тяжелой форме);</w:t>
      </w:r>
      <w:proofErr w:type="gramEnd"/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proofErr w:type="gram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4) </w:t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тест с 6-минутной ходьбой̆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 (выявление возможных проблем в работе сердца и легких) – проводится при сатурации более 95% и наличию жалоб на одышку / отеки);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5) </w:t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рентгенографию органов грудной̆ клетки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 (если не выполнялась ранее в течение года)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2 этап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 углубленной диспансеризации включает в себя: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1.</w:t>
      </w:r>
      <w:proofErr w:type="gram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Эхокардиографию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(в случае показателя сатурации в покое 94% и ниже, а также по результатам проведения теста с 6 минутной ходьбой);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2. Компьютерную томографию легких (в случае показателя сатурации в покое 94% и ниже, а также по результатам проведения теста с 6 минутной ходьбой);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3. Дуплексное сканирование вен нижних конечностей (при наличии показаний по результатам определения концентрации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Д-димера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в крови)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b/>
          <w:bCs/>
          <w:color w:val="4F4F4F"/>
          <w:sz w:val="21"/>
          <w:szCs w:val="21"/>
          <w:shd w:val="clear" w:color="auto" w:fill="FFFFFF"/>
          <w:lang w:eastAsia="ru-RU"/>
        </w:rPr>
        <w:t>Кто может пройти углубленную диспансеризацию?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Лица, перенесшие Covid-19, при наличии 2 и более хронических неинфекционных заболеваний (наличие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сочетанния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заболеваний из группы 1 и из группы 2):</w:t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51"/>
        <w:gridCol w:w="5264"/>
      </w:tblGrid>
      <w:tr w:rsidR="001843D0" w:rsidRPr="001843D0" w:rsidTr="001843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3D0" w:rsidRPr="001843D0" w:rsidRDefault="001843D0" w:rsidP="001843D0">
            <w:pPr>
              <w:spacing w:after="0" w:line="240" w:lineRule="auto"/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  <w:t>Группа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43D0" w:rsidRPr="001843D0" w:rsidRDefault="001843D0" w:rsidP="001843D0">
            <w:pPr>
              <w:spacing w:after="0" w:line="240" w:lineRule="auto"/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  <w:t>Группа 2</w:t>
            </w:r>
          </w:p>
        </w:tc>
      </w:tr>
      <w:tr w:rsidR="001843D0" w:rsidRPr="001843D0" w:rsidTr="001843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843D0" w:rsidRPr="001843D0" w:rsidRDefault="001843D0" w:rsidP="001843D0">
            <w:pPr>
              <w:spacing w:after="0" w:line="240" w:lineRule="auto"/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  <w:t>– Первичная гипертензия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Гипертензивная болезнь сердца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Гипертоническая болезнь с преимущественным поражением почек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Гипертоническая болезнь с преимущественным поражением сердца и почек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Вторичная гипертензия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– Острый инфаркт миокарда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Другие формы стенокардии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Стенокардия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неуточненная</w:t>
            </w:r>
            <w:proofErr w:type="spellEnd"/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Хроническая ишемическая болезнь сердца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Атеросклеротическая болезнь сердца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Перенесенный в прошлом инфаркт миокарда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Ишемическая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кардиомиопатия</w:t>
            </w:r>
            <w:proofErr w:type="spellEnd"/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Бессимптомная ишемия миокарда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Другие формы хронической ишемической болезни сердца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Хроническая ишемическая болезнь сердца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неуточненная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43D0" w:rsidRPr="001843D0" w:rsidRDefault="001843D0" w:rsidP="001843D0">
            <w:pPr>
              <w:spacing w:after="0" w:line="240" w:lineRule="auto"/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4F4F4F"/>
                <w:sz w:val="21"/>
                <w:szCs w:val="21"/>
                <w:lang w:eastAsia="ru-RU"/>
              </w:rPr>
              <w:lastRenderedPageBreak/>
              <w:t>– Пароксизмальная фибрилляция предсердий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Хроническая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обструктивная</w:t>
            </w:r>
            <w:proofErr w:type="spellEnd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легочная болезнь с острой респираторной инфекцией нижних дыхательных путей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Другая уточненная хроническая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обструктивная</w:t>
            </w:r>
            <w:proofErr w:type="spellEnd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легочная болезнь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– Хроническая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обструктивная</w:t>
            </w:r>
            <w:proofErr w:type="spellEnd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легочная болезнь </w:t>
            </w:r>
            <w:proofErr w:type="spellStart"/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неуточненная</w:t>
            </w:r>
            <w:proofErr w:type="spellEnd"/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Сахарный диабет II типа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– Последствия субарахноидального кровоизлияния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Последствия внутричерепного кровоизлияния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Последствия другого нетравматического внутричерепного кровоизлияния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Последствия инфаркта мозга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Последствия инсульта, не уточненные как кровоизлияние или инфаркт мозга</w:t>
            </w:r>
          </w:p>
          <w:p w:rsidR="001843D0" w:rsidRPr="001843D0" w:rsidRDefault="001843D0" w:rsidP="001843D0">
            <w:pPr>
              <w:spacing w:before="225" w:after="225" w:line="360" w:lineRule="atLeast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1843D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– Другие уточненные поражения сосудов мозга</w:t>
            </w:r>
          </w:p>
        </w:tc>
      </w:tr>
    </w:tbl>
    <w:p w:rsidR="000F040B" w:rsidRDefault="001843D0"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lastRenderedPageBreak/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2. Граждане, перенесшие новую </w:t>
      </w:r>
      <w:proofErr w:type="spell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>коронавирусную</w:t>
      </w:r>
      <w:proofErr w:type="spellEnd"/>
      <w:r w:rsidRPr="001843D0">
        <w:rPr>
          <w:rFonts w:ascii="Open Sans" w:eastAsia="Times New Roman" w:hAnsi="Open Sans" w:cs="Times New Roman"/>
          <w:color w:val="4F4F4F"/>
          <w:sz w:val="21"/>
          <w:szCs w:val="21"/>
          <w:shd w:val="clear" w:color="auto" w:fill="FFFFFF"/>
          <w:lang w:eastAsia="ru-RU"/>
        </w:rPr>
        <w:t xml:space="preserve"> инфекцию COVID-19, не относящиеся лицам, указанным в пункте 1</w:t>
      </w:r>
      <w:proofErr w:type="gramStart"/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color w:val="4F4F4F"/>
          <w:sz w:val="21"/>
          <w:szCs w:val="21"/>
          <w:lang w:eastAsia="ru-RU"/>
        </w:rPr>
        <w:br/>
      </w:r>
      <w:r w:rsidRPr="001843D0">
        <w:rPr>
          <w:rFonts w:ascii="Open Sans" w:eastAsia="Times New Roman" w:hAnsi="Open Sans" w:cs="Times New Roman"/>
          <w:i/>
          <w:iCs/>
          <w:color w:val="4F4F4F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1843D0">
        <w:rPr>
          <w:rFonts w:ascii="Open Sans" w:eastAsia="Times New Roman" w:hAnsi="Open Sans" w:cs="Times New Roman"/>
          <w:i/>
          <w:iCs/>
          <w:color w:val="4F4F4F"/>
          <w:sz w:val="21"/>
          <w:szCs w:val="21"/>
          <w:shd w:val="clear" w:color="auto" w:fill="FFFFFF"/>
          <w:lang w:eastAsia="ru-RU"/>
        </w:rPr>
        <w:t xml:space="preserve"> соответствии с действующим законодательством 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1843D0">
        <w:rPr>
          <w:rFonts w:ascii="Open Sans" w:eastAsia="Times New Roman" w:hAnsi="Open Sans" w:cs="Times New Roman"/>
          <w:i/>
          <w:iCs/>
          <w:color w:val="4F4F4F"/>
          <w:sz w:val="21"/>
          <w:szCs w:val="21"/>
          <w:shd w:val="clear" w:color="auto" w:fill="FFFFFF"/>
          <w:lang w:eastAsia="ru-RU"/>
        </w:rPr>
        <w:t>коронавирусной</w:t>
      </w:r>
      <w:proofErr w:type="spellEnd"/>
      <w:r w:rsidRPr="001843D0">
        <w:rPr>
          <w:rFonts w:ascii="Open Sans" w:eastAsia="Times New Roman" w:hAnsi="Open Sans" w:cs="Times New Roman"/>
          <w:i/>
          <w:iCs/>
          <w:color w:val="4F4F4F"/>
          <w:sz w:val="21"/>
          <w:szCs w:val="21"/>
          <w:shd w:val="clear" w:color="auto" w:fill="FFFFFF"/>
          <w:lang w:eastAsia="ru-RU"/>
        </w:rPr>
        <w:t xml:space="preserve"> инфекции, при подаче заявления на имя руководителя медицинской организации, выбранной гражданином в рамках программы государственных гарантий бесплатного оказания гражданам медицинской помощи.</w:t>
      </w:r>
      <w:bookmarkStart w:id="0" w:name="_GoBack"/>
      <w:bookmarkEnd w:id="0"/>
    </w:p>
    <w:sectPr w:rsidR="000F040B" w:rsidSect="00E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A22"/>
    <w:rsid w:val="000F040B"/>
    <w:rsid w:val="001843D0"/>
    <w:rsid w:val="00716A46"/>
    <w:rsid w:val="007A2A22"/>
    <w:rsid w:val="00E5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2022-11-21T09:09:00Z</dcterms:created>
  <dcterms:modified xsi:type="dcterms:W3CDTF">2022-11-21T09:09:00Z</dcterms:modified>
</cp:coreProperties>
</file>